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一、判断题</w:t>
      </w:r>
    </w:p>
    <w:p>
      <w:pPr>
        <w:pStyle w:val="12"/>
        <w:numPr>
          <w:ilvl w:val="0"/>
          <w:numId w:val="1"/>
        </w:numPr>
        <w:adjustRightInd w:val="0"/>
        <w:snapToGrid w:val="0"/>
        <w:spacing w:line="320" w:lineRule="atLeast"/>
        <w:ind w:firstLineChars="0"/>
        <w:rPr>
          <w:rFonts w:ascii="宋体" w:hAnsi="宋体" w:cs="宋体"/>
          <w:szCs w:val="21"/>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，电气装置应能</w:t>
      </w:r>
      <w:r>
        <w:rPr>
          <w:rFonts w:hint="eastAsia" w:ascii="宋体" w:hAnsi="宋体" w:cs="宋体"/>
          <w:szCs w:val="21"/>
        </w:rPr>
        <w:t>确保为保持船舶处于正常操作状态和满足正常生活条件所必需的所有电力辅助设备供电。</w:t>
      </w:r>
    </w:p>
    <w:p>
      <w:pPr>
        <w:rPr>
          <w:szCs w:val="21"/>
        </w:rPr>
      </w:pPr>
      <w:r>
        <w:rPr>
          <w:szCs w:val="21"/>
        </w:rPr>
        <w:t>答案：√</w:t>
      </w:r>
    </w:p>
    <w:p>
      <w:pPr>
        <w:pStyle w:val="12"/>
        <w:numPr>
          <w:ilvl w:val="0"/>
          <w:numId w:val="1"/>
        </w:numPr>
        <w:adjustRightInd w:val="0"/>
        <w:snapToGrid w:val="0"/>
        <w:spacing w:line="320" w:lineRule="atLeast"/>
        <w:ind w:firstLineChars="0"/>
        <w:rPr>
          <w:rFonts w:ascii="宋体" w:hAnsi="宋体" w:cs="宋体"/>
          <w:szCs w:val="21"/>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，船上电气装置只需确保船员安全。</w:t>
      </w:r>
    </w:p>
    <w:p>
      <w:pPr>
        <w:rPr>
          <w:szCs w:val="21"/>
        </w:rPr>
      </w:pPr>
      <w:r>
        <w:rPr>
          <w:szCs w:val="21"/>
        </w:rPr>
        <w:t>答案：×</w:t>
      </w:r>
    </w:p>
    <w:p>
      <w:pPr>
        <w:pStyle w:val="12"/>
        <w:numPr>
          <w:ilvl w:val="0"/>
          <w:numId w:val="1"/>
        </w:numPr>
        <w:adjustRightInd w:val="0"/>
        <w:snapToGrid w:val="0"/>
        <w:spacing w:line="320" w:lineRule="atLeast"/>
        <w:ind w:firstLineChars="0"/>
        <w:rPr>
          <w:rFonts w:ascii="宋体" w:hAnsi="宋体" w:cs="宋体"/>
          <w:szCs w:val="21"/>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，船上应设照明系统，由船舶主电源供电。</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，电气设备应贴近燃油舱、油柜等外壁表面安装。</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，凡以蓄电池组作为主电源的船舶，船上必须有充电装置。</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，船舶电气设备应当有效接地</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lang w:val="en-US" w:eastAsia="zh-CN"/>
        </w:rPr>
        <w:t>满足不需接地条件的除外</w:t>
      </w:r>
      <w:r>
        <w:rPr>
          <w:rStyle w:val="9"/>
          <w:rFonts w:hint="eastAsia" w:ascii="宋体" w:hAnsi="宋体" w:cs="宋体"/>
          <w:bCs/>
          <w:color w:val="auto"/>
          <w:szCs w:val="21"/>
          <w:u w:val="none"/>
        </w:rPr>
        <w:t>。</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，工作时能产生高温的电气设备，在安装时应有隔热防护措施，并且不应在油舱、油柜等外壁表面安装。</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，电气设备及系统的热态绝缘电阻应大</w:t>
      </w:r>
      <w:r>
        <w:rPr>
          <w:rStyle w:val="9"/>
          <w:bCs/>
          <w:color w:val="auto"/>
          <w:szCs w:val="21"/>
          <w:u w:val="none"/>
        </w:rPr>
        <w:t>于0.1MΩ</w:t>
      </w:r>
      <w:r>
        <w:rPr>
          <w:rStyle w:val="9"/>
          <w:rFonts w:hint="eastAsia" w:ascii="宋体" w:hAnsi="宋体" w:cs="宋体"/>
          <w:bCs/>
          <w:color w:val="auto"/>
          <w:szCs w:val="21"/>
          <w:u w:val="none"/>
        </w:rPr>
        <w:t>。</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，蓄电池应安装在尽量靠近启动电机的位置。</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，蓄电池应安装在防腐托盘或专用箱柜中，便于检修及维护。</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，配电板（箱）一般应以绝缘材料制作，其罩壳应以滞燃、耐潮材料制作。</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 xml:space="preserve">，任何情况下，配电板（箱）的上方不应设有水、油、蒸汽管、油柜以及其他液体容器。 </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highlight w:val="none"/>
          <w:u w:val="none"/>
        </w:rPr>
      </w:pPr>
      <w:r>
        <w:rPr>
          <w:rStyle w:val="9"/>
          <w:rFonts w:hint="eastAsia" w:ascii="宋体" w:hAnsi="宋体" w:cs="宋体"/>
          <w:bCs/>
          <w:color w:val="auto"/>
          <w:szCs w:val="21"/>
          <w:highlight w:val="none"/>
          <w:u w:val="none"/>
        </w:rPr>
        <w:t>依据《国内海洋小型渔船法定检验技术规则（</w:t>
      </w:r>
      <w:r>
        <w:rPr>
          <w:rStyle w:val="9"/>
          <w:rFonts w:ascii="宋体" w:hAnsi="宋体" w:cs="宋体"/>
          <w:bCs/>
          <w:color w:val="auto"/>
          <w:szCs w:val="21"/>
          <w:highlight w:val="none"/>
          <w:u w:val="none"/>
        </w:rPr>
        <w:t>2019</w:t>
      </w:r>
      <w:r>
        <w:rPr>
          <w:rStyle w:val="9"/>
          <w:rFonts w:hint="eastAsia" w:ascii="宋体" w:hAnsi="宋体" w:cs="宋体"/>
          <w:bCs/>
          <w:color w:val="auto"/>
          <w:szCs w:val="21"/>
          <w:highlight w:val="none"/>
          <w:u w:val="none"/>
        </w:rPr>
        <w:t>）</w:t>
      </w:r>
      <w:r>
        <w:rPr>
          <w:rStyle w:val="9"/>
          <w:rFonts w:hint="eastAsia" w:ascii="宋体" w:hAnsi="宋体" w:cs="宋体"/>
          <w:bCs/>
          <w:color w:val="auto"/>
          <w:szCs w:val="21"/>
          <w:highlight w:val="none"/>
          <w:u w:val="none"/>
          <w:lang w:eastAsia="zh-CN"/>
        </w:rPr>
        <w:t>》</w:t>
      </w:r>
      <w:r>
        <w:rPr>
          <w:rStyle w:val="9"/>
          <w:rFonts w:hint="eastAsia" w:ascii="宋体" w:hAnsi="宋体" w:cs="宋体"/>
          <w:bCs/>
          <w:color w:val="auto"/>
          <w:szCs w:val="21"/>
          <w:highlight w:val="none"/>
          <w:u w:val="none"/>
        </w:rPr>
        <w:t xml:space="preserve">，任何情况下，配电板（箱）的后方不应设有水、油、蒸汽管、油柜以及其他液体容器。 </w:t>
      </w:r>
    </w:p>
    <w:p>
      <w:pPr>
        <w:rPr>
          <w:rFonts w:hint="eastAsia" w:eastAsia="宋体"/>
          <w:szCs w:val="21"/>
          <w:highlight w:val="none"/>
          <w:lang w:eastAsia="zh-CN"/>
        </w:rPr>
      </w:pPr>
      <w:r>
        <w:rPr>
          <w:szCs w:val="21"/>
          <w:highlight w:val="none"/>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，若需在可能出现爆炸性气体、蒸汽而有爆炸危险的处所安装电气设备，则应是适合于爆炸气体环境用的合格防爆电气设备。</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，船上应配备用于接收天气预报的装置。</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依据《国内海洋小型渔船法定检验技术规则（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，船长10</w:t>
      </w:r>
      <w:r>
        <w:rPr>
          <w:rStyle w:val="9"/>
          <w:rFonts w:hint="eastAsia" w:ascii="宋体" w:hAnsi="宋体" w:cs="宋体"/>
          <w:bCs/>
          <w:color w:val="auto"/>
          <w:szCs w:val="21"/>
          <w:u w:val="none"/>
          <w:lang w:val="en-US" w:eastAsia="zh-CN"/>
        </w:rPr>
        <w:t>.00</w:t>
      </w:r>
      <w:r>
        <w:rPr>
          <w:rStyle w:val="9"/>
          <w:rFonts w:hint="eastAsia" w:ascii="宋体" w:hAnsi="宋体" w:cs="宋体"/>
          <w:bCs/>
          <w:color w:val="auto"/>
          <w:szCs w:val="21"/>
          <w:u w:val="none"/>
        </w:rPr>
        <w:t>m钢质沿海刺网渔船，应配备</w:t>
      </w:r>
      <w:r>
        <w:rPr>
          <w:rStyle w:val="9"/>
          <w:rFonts w:ascii="宋体" w:hAnsi="宋体" w:cs="宋体"/>
          <w:bCs/>
          <w:color w:val="auto"/>
          <w:szCs w:val="21"/>
          <w:u w:val="none"/>
        </w:rPr>
        <w:t>1</w:t>
      </w:r>
      <w:r>
        <w:rPr>
          <w:rStyle w:val="9"/>
          <w:rFonts w:hint="eastAsia" w:ascii="宋体" w:hAnsi="宋体" w:cs="宋体"/>
          <w:bCs/>
          <w:color w:val="auto"/>
          <w:szCs w:val="21"/>
          <w:u w:val="none"/>
        </w:rPr>
        <w:t>台磁罗经和</w:t>
      </w:r>
      <w:r>
        <w:rPr>
          <w:rStyle w:val="9"/>
          <w:rFonts w:ascii="宋体" w:hAnsi="宋体" w:cs="宋体"/>
          <w:bCs/>
          <w:color w:val="auto"/>
          <w:szCs w:val="21"/>
          <w:u w:val="none"/>
        </w:rPr>
        <w:t>1</w:t>
      </w:r>
      <w:r>
        <w:rPr>
          <w:rStyle w:val="9"/>
          <w:rFonts w:hint="eastAsia" w:ascii="宋体" w:hAnsi="宋体" w:cs="宋体"/>
          <w:bCs/>
          <w:color w:val="auto"/>
          <w:szCs w:val="21"/>
          <w:u w:val="none"/>
        </w:rPr>
        <w:t>台指南针用于助航。</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，船长16</w:t>
      </w:r>
      <w:r>
        <w:rPr>
          <w:rStyle w:val="9"/>
          <w:rFonts w:hint="eastAsia" w:ascii="宋体" w:hAnsi="宋体" w:cs="宋体"/>
          <w:bCs/>
          <w:color w:val="auto"/>
          <w:szCs w:val="21"/>
          <w:u w:val="none"/>
          <w:lang w:val="en-US" w:eastAsia="zh-CN"/>
        </w:rPr>
        <w:t>.00</w:t>
      </w:r>
      <w:r>
        <w:rPr>
          <w:rStyle w:val="9"/>
          <w:rFonts w:hint="eastAsia" w:ascii="宋体" w:hAnsi="宋体" w:cs="宋体"/>
          <w:bCs/>
          <w:color w:val="auto"/>
          <w:szCs w:val="21"/>
          <w:u w:val="none"/>
        </w:rPr>
        <w:t>m</w:t>
      </w:r>
      <w:r>
        <w:rPr>
          <w:rStyle w:val="9"/>
          <w:rFonts w:hint="eastAsia" w:ascii="宋体" w:hAnsi="宋体" w:cs="宋体"/>
          <w:bCs/>
          <w:color w:val="auto"/>
          <w:szCs w:val="21"/>
          <w:u w:val="none"/>
          <w:lang w:eastAsia="zh-CN"/>
        </w:rPr>
        <w:t>钢质沿海</w:t>
      </w:r>
      <w:r>
        <w:rPr>
          <w:rStyle w:val="9"/>
          <w:rFonts w:hint="eastAsia" w:ascii="宋体" w:hAnsi="宋体" w:cs="宋体"/>
          <w:bCs/>
          <w:color w:val="auto"/>
          <w:szCs w:val="21"/>
          <w:u w:val="none"/>
        </w:rPr>
        <w:t>刺网渔船，若其用电设备耗电总功率为20</w:t>
      </w:r>
      <w:r>
        <w:rPr>
          <w:rStyle w:val="9"/>
          <w:rFonts w:ascii="宋体" w:hAnsi="宋体" w:cs="宋体"/>
          <w:bCs/>
          <w:color w:val="auto"/>
          <w:szCs w:val="21"/>
          <w:u w:val="none"/>
        </w:rPr>
        <w:t>kW</w:t>
      </w:r>
      <w:r>
        <w:rPr>
          <w:rStyle w:val="9"/>
          <w:rFonts w:hint="eastAsia" w:ascii="宋体" w:hAnsi="宋体" w:cs="宋体"/>
          <w:bCs/>
          <w:color w:val="auto"/>
          <w:szCs w:val="21"/>
          <w:u w:val="none"/>
        </w:rPr>
        <w:t>、为主机服务的各种辅机、舵机油泵都由主机驱动，并且船舶设有蓄电池组作为备用电源时，则其可仅设</w:t>
      </w:r>
      <w:r>
        <w:rPr>
          <w:rStyle w:val="9"/>
          <w:rFonts w:ascii="宋体" w:hAnsi="宋体" w:cs="宋体"/>
          <w:bCs/>
          <w:color w:val="auto"/>
          <w:szCs w:val="21"/>
          <w:u w:val="none"/>
        </w:rPr>
        <w:t>1</w:t>
      </w:r>
      <w:r>
        <w:rPr>
          <w:rStyle w:val="9"/>
          <w:rFonts w:hint="eastAsia" w:ascii="宋体" w:hAnsi="宋体" w:cs="宋体"/>
          <w:bCs/>
          <w:color w:val="auto"/>
          <w:szCs w:val="21"/>
          <w:u w:val="none"/>
        </w:rPr>
        <w:t>台与主机相独立的发电机组或 1台轴带发电机作为船舶主电源。</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，船长大于12</w:t>
      </w:r>
      <w:r>
        <w:rPr>
          <w:rStyle w:val="9"/>
          <w:rFonts w:ascii="宋体" w:hAnsi="宋体" w:cs="宋体"/>
          <w:bCs/>
          <w:color w:val="auto"/>
          <w:szCs w:val="21"/>
          <w:u w:val="none"/>
        </w:rPr>
        <w:t>m</w:t>
      </w:r>
      <w:r>
        <w:rPr>
          <w:rStyle w:val="9"/>
          <w:rFonts w:hint="eastAsia" w:ascii="宋体" w:hAnsi="宋体" w:cs="宋体"/>
          <w:bCs/>
          <w:color w:val="auto"/>
          <w:szCs w:val="21"/>
          <w:u w:val="none"/>
        </w:rPr>
        <w:t>的渔船不能以蓄电池组作为主电源。</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，一般情况下，船长大于24m的渔船其主电源至少应由</w:t>
      </w:r>
      <w:r>
        <w:rPr>
          <w:rStyle w:val="9"/>
          <w:rFonts w:ascii="宋体" w:hAnsi="宋体" w:cs="宋体"/>
          <w:bCs/>
          <w:color w:val="auto"/>
          <w:szCs w:val="21"/>
          <w:u w:val="none"/>
        </w:rPr>
        <w:t>2</w:t>
      </w:r>
      <w:r>
        <w:rPr>
          <w:rStyle w:val="9"/>
          <w:rFonts w:hint="eastAsia" w:ascii="宋体" w:hAnsi="宋体" w:cs="宋体"/>
          <w:bCs/>
          <w:color w:val="auto"/>
          <w:szCs w:val="21"/>
          <w:u w:val="none"/>
        </w:rPr>
        <w:t>台发电机组组成，也可采用具有同等电容量的</w:t>
      </w:r>
      <w:r>
        <w:rPr>
          <w:rStyle w:val="9"/>
          <w:rFonts w:ascii="宋体" w:hAnsi="宋体" w:cs="宋体"/>
          <w:bCs/>
          <w:color w:val="auto"/>
          <w:szCs w:val="21"/>
          <w:u w:val="none"/>
        </w:rPr>
        <w:t>2</w:t>
      </w:r>
      <w:r>
        <w:rPr>
          <w:rStyle w:val="9"/>
          <w:rFonts w:hint="eastAsia" w:ascii="宋体" w:hAnsi="宋体" w:cs="宋体"/>
          <w:bCs/>
          <w:color w:val="auto"/>
          <w:szCs w:val="21"/>
          <w:u w:val="none"/>
        </w:rPr>
        <w:t>组其他电源装置。其中</w:t>
      </w:r>
      <w:r>
        <w:rPr>
          <w:rStyle w:val="9"/>
          <w:rFonts w:ascii="宋体" w:hAnsi="宋体" w:cs="宋体"/>
          <w:bCs/>
          <w:color w:val="auto"/>
          <w:szCs w:val="21"/>
          <w:u w:val="none"/>
        </w:rPr>
        <w:t>1</w:t>
      </w:r>
      <w:r>
        <w:rPr>
          <w:rStyle w:val="9"/>
          <w:rFonts w:hint="eastAsia" w:ascii="宋体" w:hAnsi="宋体" w:cs="宋体"/>
          <w:bCs/>
          <w:color w:val="auto"/>
          <w:szCs w:val="21"/>
          <w:u w:val="none"/>
        </w:rPr>
        <w:t>台可采用主机驱动。</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，若船舶主发电机的总功率超过</w:t>
      </w:r>
      <w:r>
        <w:rPr>
          <w:rStyle w:val="9"/>
          <w:rFonts w:ascii="宋体" w:hAnsi="宋体" w:cs="宋体"/>
          <w:bCs/>
          <w:color w:val="auto"/>
          <w:szCs w:val="21"/>
          <w:u w:val="none"/>
        </w:rPr>
        <w:t>400kW</w:t>
      </w:r>
      <w:r>
        <w:rPr>
          <w:rStyle w:val="9"/>
          <w:rFonts w:hint="eastAsia" w:ascii="宋体" w:hAnsi="宋体" w:cs="宋体"/>
          <w:bCs/>
          <w:color w:val="auto"/>
          <w:szCs w:val="21"/>
          <w:u w:val="none"/>
        </w:rPr>
        <w:t>，则汇流排应至少分成3个独立的分段。</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，海洋渔船的应急电源应是蓄电池组。</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，应急电源应安装在最高一层连续甲板以上易于从露天甲板到达之处。</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，若应急电源为发电机，则应急配电板不应与应急发电机安装在同一处所。</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，若应急电源为蓄电池组，则该蓄电池组应与应急配电板安装在同一处所。</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，应急配电板应通过相互连接的馈电线由主配电板供电。若不允许反向供电，该馈电线应在应急配电板上设过载和短路保护，并在主电源供电失效时，应能在应急配电板处自动切断。</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 xml:space="preserve">，除在热带海区航行和作业的船舶外，应急发电机应能在温度为 </w:t>
      </w:r>
      <w:r>
        <w:rPr>
          <w:rStyle w:val="9"/>
          <w:rFonts w:ascii="宋体" w:hAnsi="宋体" w:cs="宋体"/>
          <w:bCs/>
          <w:color w:val="auto"/>
          <w:szCs w:val="21"/>
          <w:u w:val="none"/>
        </w:rPr>
        <w:t>0</w:t>
      </w:r>
      <w:r>
        <w:rPr>
          <w:rStyle w:val="9"/>
          <w:rFonts w:hint="eastAsia" w:ascii="宋体" w:hAnsi="宋体" w:cs="宋体"/>
          <w:bCs/>
          <w:color w:val="auto"/>
          <w:szCs w:val="21"/>
          <w:u w:val="none"/>
        </w:rPr>
        <w:t>℃下冷态迅速起动。</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，能够自动</w:t>
      </w:r>
      <w:r>
        <w:rPr>
          <w:rStyle w:val="9"/>
          <w:rFonts w:ascii="宋体" w:hAnsi="宋体" w:cs="宋体"/>
          <w:bCs/>
          <w:color w:val="auto"/>
          <w:szCs w:val="21"/>
          <w:u w:val="none"/>
        </w:rPr>
        <w:t>起动</w:t>
      </w:r>
      <w:r>
        <w:rPr>
          <w:rStyle w:val="9"/>
          <w:rFonts w:hint="eastAsia" w:ascii="宋体" w:hAnsi="宋体" w:cs="宋体"/>
          <w:bCs/>
          <w:color w:val="auto"/>
          <w:szCs w:val="21"/>
          <w:u w:val="none"/>
        </w:rPr>
        <w:t>的每台应急发电机组均应设有认可的</w:t>
      </w:r>
      <w:r>
        <w:rPr>
          <w:rStyle w:val="9"/>
          <w:rFonts w:ascii="宋体" w:hAnsi="宋体" w:cs="宋体"/>
          <w:bCs/>
          <w:color w:val="auto"/>
          <w:szCs w:val="21"/>
          <w:u w:val="none"/>
        </w:rPr>
        <w:t>起动</w:t>
      </w:r>
      <w:r>
        <w:rPr>
          <w:rStyle w:val="9"/>
          <w:rFonts w:hint="eastAsia" w:ascii="宋体" w:hAnsi="宋体" w:cs="宋体"/>
          <w:bCs/>
          <w:color w:val="auto"/>
          <w:szCs w:val="21"/>
          <w:u w:val="none"/>
        </w:rPr>
        <w:t>装置，该装置应备有至少供6次连续</w:t>
      </w:r>
      <w:r>
        <w:rPr>
          <w:rStyle w:val="9"/>
          <w:rFonts w:ascii="宋体" w:hAnsi="宋体" w:cs="宋体"/>
          <w:bCs/>
          <w:color w:val="auto"/>
          <w:szCs w:val="21"/>
          <w:u w:val="none"/>
        </w:rPr>
        <w:t>起动</w:t>
      </w:r>
      <w:r>
        <w:rPr>
          <w:rStyle w:val="9"/>
          <w:rFonts w:hint="eastAsia" w:ascii="宋体" w:hAnsi="宋体" w:cs="宋体"/>
          <w:bCs/>
          <w:color w:val="auto"/>
          <w:szCs w:val="21"/>
          <w:u w:val="none"/>
        </w:rPr>
        <w:t>的能源。</w:t>
      </w:r>
      <w:r>
        <w:rPr>
          <w:rStyle w:val="9"/>
          <w:rFonts w:ascii="宋体" w:hAnsi="宋体" w:cs="宋体"/>
          <w:bCs/>
          <w:color w:val="auto"/>
          <w:szCs w:val="21"/>
          <w:u w:val="none"/>
        </w:rPr>
        <w:t>起动</w:t>
      </w:r>
      <w:r>
        <w:rPr>
          <w:rStyle w:val="9"/>
          <w:rFonts w:hint="eastAsia" w:ascii="宋体" w:hAnsi="宋体" w:cs="宋体"/>
          <w:bCs/>
          <w:color w:val="auto"/>
          <w:szCs w:val="21"/>
          <w:u w:val="none"/>
        </w:rPr>
        <w:t>能源应加以保护，以免被自动</w:t>
      </w:r>
      <w:r>
        <w:rPr>
          <w:rStyle w:val="9"/>
          <w:rFonts w:ascii="宋体" w:hAnsi="宋体" w:cs="宋体"/>
          <w:bCs/>
          <w:color w:val="auto"/>
          <w:szCs w:val="21"/>
          <w:u w:val="none"/>
        </w:rPr>
        <w:t>起动</w:t>
      </w:r>
      <w:r>
        <w:rPr>
          <w:rStyle w:val="9"/>
          <w:rFonts w:hint="eastAsia" w:ascii="宋体" w:hAnsi="宋体" w:cs="宋体"/>
          <w:bCs/>
          <w:color w:val="auto"/>
          <w:szCs w:val="21"/>
          <w:u w:val="none"/>
        </w:rPr>
        <w:t>系统所耗尽。</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，一艘船长25</w:t>
      </w:r>
      <w:r>
        <w:rPr>
          <w:rStyle w:val="9"/>
          <w:rFonts w:hint="eastAsia" w:ascii="宋体" w:hAnsi="宋体" w:cs="宋体"/>
          <w:bCs/>
          <w:color w:val="auto"/>
          <w:szCs w:val="21"/>
          <w:u w:val="none"/>
          <w:lang w:val="en-US" w:eastAsia="zh-CN"/>
        </w:rPr>
        <w:t>.00</w:t>
      </w:r>
      <w:r>
        <w:rPr>
          <w:rStyle w:val="9"/>
          <w:rFonts w:hint="eastAsia" w:ascii="宋体" w:hAnsi="宋体" w:cs="宋体"/>
          <w:bCs/>
          <w:color w:val="auto"/>
          <w:szCs w:val="21"/>
          <w:u w:val="none"/>
        </w:rPr>
        <w:t>m</w:t>
      </w:r>
      <w:r>
        <w:rPr>
          <w:rStyle w:val="9"/>
          <w:rFonts w:hint="eastAsia" w:ascii="宋体" w:hAnsi="宋体" w:cs="宋体"/>
          <w:bCs/>
          <w:color w:val="auto"/>
          <w:szCs w:val="21"/>
          <w:u w:val="none"/>
          <w:lang w:eastAsia="zh-CN"/>
        </w:rPr>
        <w:t>钢质沿海</w:t>
      </w:r>
      <w:r>
        <w:rPr>
          <w:rStyle w:val="9"/>
          <w:rFonts w:hint="eastAsia" w:ascii="宋体" w:hAnsi="宋体" w:cs="宋体"/>
          <w:bCs/>
          <w:color w:val="auto"/>
          <w:szCs w:val="21"/>
          <w:u w:val="none"/>
        </w:rPr>
        <w:t>刺网渔船，若其夜间不航行，则可不设备用电源。</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，应急照明灯均应具有明显的标志，或在结构上与一般照明灯不同。</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，驾驶室的应急照明电路中不应装设就地开关。</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，不应在应急照明的馈电线上装设开关。</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，任何情况下，电气设备的带电部件以外的所有可接近的金属部分均应接地。</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，当采用船体作回路的配电系统时，所有最后分路，即位于最后</w:t>
      </w:r>
      <w:r>
        <w:rPr>
          <w:rStyle w:val="9"/>
          <w:rFonts w:ascii="宋体" w:hAnsi="宋体" w:cs="宋体"/>
          <w:bCs/>
          <w:color w:val="auto"/>
          <w:szCs w:val="21"/>
          <w:u w:val="none"/>
        </w:rPr>
        <w:t>1</w:t>
      </w:r>
      <w:r>
        <w:rPr>
          <w:rStyle w:val="9"/>
          <w:rFonts w:hint="eastAsia" w:ascii="宋体" w:hAnsi="宋体" w:cs="宋体"/>
          <w:bCs/>
          <w:color w:val="auto"/>
          <w:szCs w:val="21"/>
          <w:u w:val="none"/>
        </w:rPr>
        <w:t>个保护电器之后的所有电路均应为双线供电。</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，对船长小于</w:t>
      </w:r>
      <w:r>
        <w:rPr>
          <w:rStyle w:val="9"/>
          <w:rFonts w:hint="eastAsia" w:ascii="宋体" w:hAnsi="宋体" w:cs="宋体"/>
          <w:bCs/>
          <w:color w:val="auto"/>
          <w:szCs w:val="21"/>
          <w:u w:val="none"/>
          <w:lang w:val="en-US" w:eastAsia="zh-CN"/>
        </w:rPr>
        <w:t>45</w:t>
      </w:r>
      <w:r>
        <w:rPr>
          <w:rStyle w:val="9"/>
          <w:rFonts w:ascii="宋体" w:hAnsi="宋体" w:cs="宋体"/>
          <w:bCs/>
          <w:color w:val="auto"/>
          <w:szCs w:val="21"/>
          <w:u w:val="none"/>
        </w:rPr>
        <w:t>m</w:t>
      </w:r>
      <w:r>
        <w:rPr>
          <w:rStyle w:val="9"/>
          <w:rFonts w:hint="eastAsia" w:ascii="宋体" w:hAnsi="宋体" w:cs="宋体"/>
          <w:bCs/>
          <w:color w:val="auto"/>
          <w:szCs w:val="21"/>
          <w:u w:val="none"/>
        </w:rPr>
        <w:t>的船舶，可以用接地指示器代替绝缘电阻监测报警器。</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，照明附件应布置成能防止其温度升高而损坏电缆和电线，并能防止其周围的材料发生过热现象。</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，易于发生火灾或爆炸危险处所的照明和动力电路，均应在该处所以外设有能切断这些馈电线的单极开关。</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，所有非导体材料桅上均应设有避雷导体。</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，渔船上的航行设备应由主电源供电和应急电源或备用电源供电。</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，在标准磁罗经或操舵磁罗经附近的设备及其部件，应按规定安装，并应清楚地标示这些设备离开磁罗经的最小安全距离。</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，航行设备应具有标明制造厂、型号和编号、出厂年月等的铭牌，以及经船用产品检验合格的标志。</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，一艘船长28</w:t>
      </w:r>
      <w:r>
        <w:rPr>
          <w:rStyle w:val="9"/>
          <w:rFonts w:hint="eastAsia" w:ascii="宋体" w:hAnsi="宋体" w:cs="宋体"/>
          <w:bCs/>
          <w:color w:val="auto"/>
          <w:szCs w:val="21"/>
          <w:u w:val="none"/>
          <w:lang w:val="en-US" w:eastAsia="zh-CN"/>
        </w:rPr>
        <w:t>.00</w:t>
      </w:r>
      <w:r>
        <w:rPr>
          <w:rStyle w:val="9"/>
          <w:rFonts w:hint="eastAsia" w:ascii="宋体" w:hAnsi="宋体" w:cs="宋体"/>
          <w:bCs/>
          <w:color w:val="auto"/>
          <w:szCs w:val="21"/>
          <w:u w:val="none"/>
        </w:rPr>
        <w:t>m</w:t>
      </w:r>
      <w:r>
        <w:rPr>
          <w:rStyle w:val="9"/>
          <w:rFonts w:hint="eastAsia" w:ascii="宋体" w:hAnsi="宋体" w:cs="宋体"/>
          <w:bCs/>
          <w:color w:val="auto"/>
          <w:szCs w:val="21"/>
          <w:u w:val="none"/>
          <w:lang w:eastAsia="zh-CN"/>
        </w:rPr>
        <w:t>钢质沿海</w:t>
      </w:r>
      <w:r>
        <w:rPr>
          <w:rStyle w:val="9"/>
          <w:rFonts w:hint="eastAsia" w:ascii="宋体" w:hAnsi="宋体" w:cs="宋体"/>
          <w:bCs/>
          <w:color w:val="auto"/>
          <w:szCs w:val="21"/>
          <w:u w:val="none"/>
        </w:rPr>
        <w:t>刺网渔船，其船上应配一个能在</w:t>
      </w:r>
      <w:r>
        <w:rPr>
          <w:rStyle w:val="9"/>
          <w:rFonts w:ascii="宋体" w:hAnsi="宋体" w:cs="宋体"/>
          <w:bCs/>
          <w:color w:val="auto"/>
          <w:szCs w:val="21"/>
          <w:u w:val="none"/>
        </w:rPr>
        <w:t>9GHz</w:t>
      </w:r>
      <w:r>
        <w:rPr>
          <w:rStyle w:val="9"/>
          <w:rFonts w:hint="eastAsia" w:ascii="宋体" w:hAnsi="宋体" w:cs="宋体"/>
          <w:bCs/>
          <w:color w:val="auto"/>
          <w:szCs w:val="21"/>
          <w:u w:val="none"/>
        </w:rPr>
        <w:t>频带上工作的雷达。</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，一艘船长20</w:t>
      </w:r>
      <w:r>
        <w:rPr>
          <w:rStyle w:val="9"/>
          <w:rFonts w:hint="eastAsia" w:ascii="宋体" w:hAnsi="宋体" w:cs="宋体"/>
          <w:bCs/>
          <w:color w:val="auto"/>
          <w:szCs w:val="21"/>
          <w:u w:val="none"/>
          <w:lang w:val="en-US" w:eastAsia="zh-CN"/>
        </w:rPr>
        <w:t>.00</w:t>
      </w:r>
      <w:r>
        <w:rPr>
          <w:rStyle w:val="9"/>
          <w:rFonts w:hint="eastAsia" w:ascii="宋体" w:hAnsi="宋体" w:cs="宋体"/>
          <w:bCs/>
          <w:color w:val="auto"/>
          <w:szCs w:val="21"/>
          <w:u w:val="none"/>
        </w:rPr>
        <w:t>m</w:t>
      </w:r>
      <w:r>
        <w:rPr>
          <w:rStyle w:val="9"/>
          <w:rFonts w:hint="eastAsia" w:ascii="宋体" w:hAnsi="宋体" w:cs="宋体"/>
          <w:bCs/>
          <w:color w:val="auto"/>
          <w:szCs w:val="21"/>
          <w:u w:val="none"/>
          <w:lang w:val="en-US" w:eastAsia="zh-CN"/>
        </w:rPr>
        <w:t>玻璃钢近</w:t>
      </w:r>
      <w:r>
        <w:rPr>
          <w:rStyle w:val="9"/>
          <w:rFonts w:hint="eastAsia" w:ascii="宋体" w:hAnsi="宋体" w:cs="宋体"/>
          <w:bCs/>
          <w:color w:val="auto"/>
          <w:szCs w:val="21"/>
          <w:u w:val="none"/>
          <w:lang w:eastAsia="zh-CN"/>
        </w:rPr>
        <w:t>海</w:t>
      </w:r>
      <w:r>
        <w:rPr>
          <w:rStyle w:val="9"/>
          <w:rFonts w:hint="eastAsia" w:ascii="宋体" w:hAnsi="宋体" w:cs="宋体"/>
          <w:bCs/>
          <w:color w:val="auto"/>
          <w:szCs w:val="21"/>
          <w:u w:val="none"/>
        </w:rPr>
        <w:t>刺网渔船，其船上应配雷达反射器。</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，每一航行灯应由安装在驾驶室易于接近位置上的航行灯控制箱引出的独立分路供电， 而且在这些分路的两个绝缘极上能由安装在该控制箱内的开关和熔断器或断路器进行控制和保护。</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，手提白昼信号灯不应单独由主电源供电，其电源在任何情况下均应包括可携电池。</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，每艘船舶上应配有一个或多个备用电源，以便在船舶主电源或应急电源发生故障时供遇险和安全通信使用。</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依据《国内海洋渔船法定检验技术规则（</w:t>
      </w:r>
      <w:r>
        <w:rPr>
          <w:rStyle w:val="9"/>
          <w:rFonts w:ascii="宋体" w:hAnsi="宋体" w:cs="宋体"/>
          <w:bCs/>
          <w:color w:val="auto"/>
          <w:szCs w:val="21"/>
          <w:u w:val="none"/>
        </w:rPr>
        <w:t>2019</w:t>
      </w:r>
      <w:r>
        <w:rPr>
          <w:rStyle w:val="9"/>
          <w:rFonts w:hint="eastAsia" w:ascii="宋体" w:hAnsi="宋体" w:cs="宋体"/>
          <w:bCs/>
          <w:color w:val="auto"/>
          <w:szCs w:val="21"/>
          <w:u w:val="none"/>
        </w:rPr>
        <w:t>）</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，无线电通信设备应安装在驾驶室或不低于救生艇筏甲板的专用舱室内。</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，安装在船上的蓄电池应在倾斜</w:t>
      </w:r>
      <w:r>
        <w:rPr>
          <w:rStyle w:val="9"/>
          <w:rFonts w:ascii="宋体" w:hAnsi="宋体" w:cs="宋体"/>
          <w:bCs/>
          <w:color w:val="auto"/>
          <w:szCs w:val="21"/>
          <w:u w:val="none"/>
        </w:rPr>
        <w:t>45°</w:t>
      </w:r>
      <w:r>
        <w:rPr>
          <w:rStyle w:val="9"/>
          <w:rFonts w:hint="eastAsia" w:ascii="宋体" w:hAnsi="宋体" w:cs="宋体"/>
          <w:bCs/>
          <w:color w:val="auto"/>
          <w:szCs w:val="21"/>
          <w:u w:val="none"/>
        </w:rPr>
        <w:t>时，其电解液不会漏泄。</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，酸性和碱性蓄电池应安装在同一围蔽处所内。</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，充电功率大于1</w:t>
      </w:r>
      <w:r>
        <w:rPr>
          <w:rStyle w:val="9"/>
          <w:rFonts w:ascii="宋体" w:hAnsi="宋体" w:cs="宋体"/>
          <w:bCs/>
          <w:color w:val="auto"/>
          <w:szCs w:val="21"/>
          <w:u w:val="none"/>
        </w:rPr>
        <w:t>kW</w:t>
      </w:r>
      <w:r>
        <w:rPr>
          <w:rStyle w:val="9"/>
          <w:rFonts w:hint="eastAsia" w:ascii="宋体" w:hAnsi="宋体" w:cs="宋体"/>
          <w:bCs/>
          <w:color w:val="auto"/>
          <w:szCs w:val="21"/>
          <w:u w:val="none"/>
        </w:rPr>
        <w:t>的蓄电池组，应安放在专用舱室内。</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，发电机应以断路器进行保护，对</w:t>
      </w:r>
      <w:r>
        <w:rPr>
          <w:rStyle w:val="9"/>
          <w:rFonts w:hint="eastAsia" w:ascii="宋体" w:hAnsi="宋体" w:cs="宋体"/>
          <w:bCs/>
          <w:color w:val="auto"/>
          <w:szCs w:val="21"/>
          <w:u w:val="none"/>
          <w:lang w:val="en-US" w:eastAsia="zh-CN"/>
        </w:rPr>
        <w:t>5</w:t>
      </w:r>
      <w:r>
        <w:rPr>
          <w:rStyle w:val="9"/>
          <w:rFonts w:ascii="宋体" w:hAnsi="宋体" w:cs="宋体"/>
          <w:bCs/>
          <w:color w:val="auto"/>
          <w:szCs w:val="21"/>
          <w:u w:val="none"/>
        </w:rPr>
        <w:t>0kW</w:t>
      </w:r>
      <w:r>
        <w:rPr>
          <w:rStyle w:val="9"/>
          <w:rFonts w:hint="eastAsia" w:ascii="宋体" w:hAnsi="宋体" w:cs="宋体"/>
          <w:bCs/>
          <w:color w:val="auto"/>
          <w:szCs w:val="21"/>
          <w:u w:val="none"/>
        </w:rPr>
        <w:t>以下的发电机可用一个多极开关加熔断器进行保护。</w:t>
      </w:r>
    </w:p>
    <w:p>
      <w:pPr>
        <w:rPr>
          <w:szCs w:val="21"/>
        </w:rPr>
      </w:pPr>
      <w:r>
        <w:rPr>
          <w:szCs w:val="21"/>
        </w:rPr>
        <w:t>答案：</w:t>
      </w:r>
      <w:r>
        <w:rPr>
          <w:rStyle w:val="9"/>
          <w:rFonts w:ascii="宋体" w:hAnsi="宋体" w:cs="宋体"/>
          <w:bCs/>
          <w:color w:val="auto"/>
          <w:szCs w:val="21"/>
          <w:u w:val="none"/>
        </w:rPr>
        <w:t>√</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，过电流保护装置的定额应超过被保护导线的最大载流容量。</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，照明分配电板每一容量大于</w:t>
      </w:r>
      <w:r>
        <w:rPr>
          <w:rStyle w:val="9"/>
          <w:rFonts w:ascii="宋体" w:hAnsi="宋体" w:cs="宋体"/>
          <w:bCs/>
          <w:color w:val="auto"/>
          <w:szCs w:val="21"/>
          <w:u w:val="none"/>
        </w:rPr>
        <w:t>16A</w:t>
      </w:r>
      <w:r>
        <w:rPr>
          <w:rStyle w:val="9"/>
          <w:rFonts w:hint="eastAsia" w:ascii="宋体" w:hAnsi="宋体" w:cs="宋体"/>
          <w:bCs/>
          <w:color w:val="auto"/>
          <w:szCs w:val="21"/>
          <w:u w:val="none"/>
        </w:rPr>
        <w:t>的最后分路的供电灯点应不超过2个。</w:t>
      </w:r>
    </w:p>
    <w:p>
      <w:pPr>
        <w:rPr>
          <w:szCs w:val="21"/>
        </w:rPr>
      </w:pPr>
      <w:r>
        <w:rPr>
          <w:szCs w:val="21"/>
        </w:rPr>
        <w:t>答案：×</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，在机舱中的电缆或电线的导体绝缘工作温度应至少为</w:t>
      </w:r>
      <w:r>
        <w:rPr>
          <w:rStyle w:val="9"/>
          <w:rFonts w:ascii="宋体" w:hAnsi="宋体" w:cs="宋体"/>
          <w:bCs/>
          <w:color w:val="auto"/>
          <w:szCs w:val="21"/>
          <w:u w:val="none"/>
        </w:rPr>
        <w:t>70</w:t>
      </w:r>
      <w:r>
        <w:rPr>
          <w:rStyle w:val="9"/>
          <w:rFonts w:hint="eastAsia" w:ascii="宋体" w:hAnsi="宋体" w:cs="宋体"/>
          <w:bCs/>
          <w:color w:val="auto"/>
          <w:szCs w:val="21"/>
          <w:u w:val="none"/>
        </w:rPr>
        <w:t>℃，并为耐油型，或者以绝缘的导管或套筒予以防护，其载流量应减少至额定载流量的</w:t>
      </w:r>
      <w:r>
        <w:rPr>
          <w:rStyle w:val="9"/>
          <w:rFonts w:ascii="宋体" w:hAnsi="宋体" w:cs="宋体"/>
          <w:bCs/>
          <w:color w:val="auto"/>
          <w:szCs w:val="21"/>
          <w:u w:val="none"/>
        </w:rPr>
        <w:t>0.75</w:t>
      </w:r>
      <w:r>
        <w:rPr>
          <w:rStyle w:val="9"/>
          <w:rFonts w:hint="eastAsia" w:ascii="宋体" w:hAnsi="宋体" w:cs="宋体"/>
          <w:bCs/>
          <w:color w:val="auto"/>
          <w:szCs w:val="21"/>
          <w:u w:val="none"/>
        </w:rPr>
        <w:t>倍。</w:t>
      </w:r>
    </w:p>
    <w:p>
      <w:pPr>
        <w:pStyle w:val="12"/>
        <w:adjustRightInd w:val="0"/>
        <w:snapToGrid w:val="0"/>
        <w:spacing w:line="320" w:lineRule="atLeast"/>
        <w:ind w:firstLine="0" w:firstLineChars="0"/>
        <w:rPr>
          <w:rStyle w:val="9"/>
          <w:rFonts w:ascii="宋体" w:hAnsi="宋体" w:cs="宋体"/>
          <w:bCs/>
          <w:color w:val="auto"/>
          <w:szCs w:val="21"/>
          <w:u w:val="none"/>
        </w:rPr>
      </w:pPr>
      <w:r>
        <w:rPr>
          <w:rStyle w:val="9"/>
          <w:rFonts w:hint="eastAsia" w:ascii="宋体" w:hAnsi="宋体" w:cs="宋体"/>
          <w:bCs/>
          <w:color w:val="auto"/>
          <w:szCs w:val="21"/>
          <w:u w:val="none"/>
        </w:rPr>
        <w:t>答案：</w:t>
      </w:r>
      <w:r>
        <w:rPr>
          <w:rStyle w:val="9"/>
          <w:rFonts w:ascii="宋体" w:hAnsi="宋体" w:cs="宋体"/>
          <w:bCs/>
          <w:color w:val="auto"/>
          <w:szCs w:val="21"/>
          <w:u w:val="none"/>
        </w:rPr>
        <w:t>√</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，安装在经受雨淋、喷水或</w:t>
      </w:r>
      <w:bookmarkStart w:id="0" w:name="_GoBack"/>
      <w:r>
        <w:rPr>
          <w:rStyle w:val="9"/>
          <w:rFonts w:hint="eastAsia" w:ascii="宋体" w:hAnsi="宋体" w:cs="宋体"/>
          <w:bCs/>
          <w:color w:val="auto"/>
          <w:szCs w:val="21"/>
          <w:u w:val="none"/>
        </w:rPr>
        <w:t>溅水部位</w:t>
      </w:r>
      <w:bookmarkEnd w:id="0"/>
      <w:r>
        <w:rPr>
          <w:rStyle w:val="9"/>
          <w:rFonts w:hint="eastAsia" w:ascii="宋体" w:hAnsi="宋体" w:cs="宋体"/>
          <w:bCs/>
          <w:color w:val="auto"/>
          <w:szCs w:val="21"/>
          <w:u w:val="none"/>
        </w:rPr>
        <w:t>的插座，当其不使用时，应能被封闭在至少为</w:t>
      </w:r>
      <w:r>
        <w:rPr>
          <w:rStyle w:val="9"/>
          <w:rFonts w:ascii="宋体" w:hAnsi="宋体" w:cs="宋体"/>
          <w:bCs/>
          <w:color w:val="auto"/>
          <w:szCs w:val="21"/>
          <w:u w:val="none"/>
        </w:rPr>
        <w:t>IP55</w:t>
      </w:r>
      <w:r>
        <w:rPr>
          <w:rStyle w:val="9"/>
          <w:rFonts w:hint="eastAsia" w:ascii="宋体" w:hAnsi="宋体" w:cs="宋体"/>
          <w:bCs/>
          <w:color w:val="auto"/>
          <w:szCs w:val="21"/>
          <w:u w:val="none"/>
        </w:rPr>
        <w:t>的外壳中。</w:t>
      </w:r>
    </w:p>
    <w:p>
      <w:pPr>
        <w:pStyle w:val="12"/>
        <w:adjustRightInd w:val="0"/>
        <w:snapToGrid w:val="0"/>
        <w:spacing w:line="320" w:lineRule="atLeast"/>
        <w:ind w:firstLine="0" w:firstLineChars="0"/>
        <w:rPr>
          <w:rStyle w:val="9"/>
          <w:rFonts w:ascii="宋体" w:hAnsi="宋体" w:cs="宋体"/>
          <w:bCs/>
          <w:color w:val="auto"/>
          <w:szCs w:val="21"/>
          <w:u w:val="none"/>
        </w:rPr>
      </w:pPr>
      <w:r>
        <w:rPr>
          <w:rStyle w:val="9"/>
          <w:rFonts w:hint="eastAsia" w:ascii="宋体" w:hAnsi="宋体" w:cs="宋体"/>
          <w:bCs/>
          <w:color w:val="auto"/>
          <w:szCs w:val="21"/>
          <w:u w:val="none"/>
        </w:rPr>
        <w:t>答案：</w:t>
      </w:r>
      <w:r>
        <w:rPr>
          <w:rStyle w:val="9"/>
          <w:rFonts w:ascii="宋体" w:hAnsi="宋体" w:cs="宋体"/>
          <w:bCs/>
          <w:color w:val="auto"/>
          <w:szCs w:val="21"/>
          <w:u w:val="none"/>
        </w:rPr>
        <w:t>√</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，机舱照明至少应由照明用的两个最后分路供电。</w:t>
      </w:r>
    </w:p>
    <w:p>
      <w:pPr>
        <w:pStyle w:val="12"/>
        <w:adjustRightInd w:val="0"/>
        <w:snapToGrid w:val="0"/>
        <w:spacing w:line="320" w:lineRule="atLeast"/>
        <w:ind w:firstLine="0" w:firstLineChars="0"/>
        <w:rPr>
          <w:rStyle w:val="9"/>
          <w:rFonts w:ascii="宋体" w:hAnsi="宋体" w:cs="宋体"/>
          <w:bCs/>
          <w:color w:val="auto"/>
          <w:szCs w:val="21"/>
          <w:u w:val="none"/>
        </w:rPr>
      </w:pPr>
      <w:r>
        <w:rPr>
          <w:rStyle w:val="9"/>
          <w:rFonts w:hint="eastAsia" w:ascii="宋体" w:hAnsi="宋体" w:cs="宋体"/>
          <w:bCs/>
          <w:color w:val="auto"/>
          <w:szCs w:val="21"/>
          <w:u w:val="none"/>
        </w:rPr>
        <w:t>答案：</w:t>
      </w:r>
      <w:r>
        <w:rPr>
          <w:rStyle w:val="9"/>
          <w:rFonts w:ascii="宋体" w:hAnsi="宋体" w:cs="宋体"/>
          <w:bCs/>
          <w:color w:val="auto"/>
          <w:szCs w:val="21"/>
          <w:u w:val="none"/>
        </w:rPr>
        <w:t>√</w:t>
      </w:r>
    </w:p>
    <w:p>
      <w:pPr>
        <w:pStyle w:val="12"/>
        <w:numPr>
          <w:ilvl w:val="0"/>
          <w:numId w:val="1"/>
        </w:numPr>
        <w:adjustRightInd w:val="0"/>
        <w:snapToGrid w:val="0"/>
        <w:spacing w:line="320" w:lineRule="atLeast"/>
        <w:ind w:firstLineChars="0"/>
        <w:rPr>
          <w:rStyle w:val="9"/>
          <w:rFonts w:ascii="宋体" w:hAnsi="宋体" w:cs="宋体"/>
          <w:bCs/>
          <w:color w:val="auto"/>
          <w:szCs w:val="21"/>
          <w:u w:val="none"/>
        </w:rPr>
      </w:pPr>
      <w:r>
        <w:rPr>
          <w:rStyle w:val="9"/>
          <w:rFonts w:hint="eastAsia" w:ascii="宋体" w:hAnsi="宋体" w:cs="宋体"/>
          <w:bCs/>
          <w:color w:val="auto"/>
          <w:szCs w:val="21"/>
          <w:u w:val="none"/>
        </w:rPr>
        <w:t>依据《钢质国内海洋渔船建造规范 船长大于或等于</w:t>
      </w:r>
      <w:r>
        <w:rPr>
          <w:rStyle w:val="9"/>
          <w:rFonts w:ascii="宋体" w:hAnsi="宋体" w:cs="宋体"/>
          <w:bCs/>
          <w:color w:val="auto"/>
          <w:szCs w:val="21"/>
          <w:u w:val="none"/>
        </w:rPr>
        <w:t>12m</w:t>
      </w:r>
      <w:r>
        <w:rPr>
          <w:rStyle w:val="9"/>
          <w:rFonts w:hint="eastAsia" w:ascii="宋体" w:hAnsi="宋体" w:cs="宋体"/>
          <w:bCs/>
          <w:color w:val="auto"/>
          <w:szCs w:val="21"/>
          <w:u w:val="none"/>
        </w:rPr>
        <w:t>但小于</w:t>
      </w:r>
      <w:r>
        <w:rPr>
          <w:rStyle w:val="9"/>
          <w:rFonts w:ascii="宋体" w:hAnsi="宋体" w:cs="宋体"/>
          <w:bCs/>
          <w:color w:val="auto"/>
          <w:szCs w:val="21"/>
          <w:u w:val="none"/>
        </w:rPr>
        <w:t>24m</w:t>
      </w:r>
      <w:r>
        <w:rPr>
          <w:rStyle w:val="9"/>
          <w:rFonts w:hint="eastAsia" w:ascii="宋体" w:hAnsi="宋体" w:cs="宋体"/>
          <w:bCs/>
          <w:color w:val="auto"/>
          <w:szCs w:val="21"/>
          <w:u w:val="none"/>
        </w:rPr>
        <w:t>（2019）</w:t>
      </w:r>
      <w:r>
        <w:rPr>
          <w:rStyle w:val="9"/>
          <w:rFonts w:hint="eastAsia" w:ascii="宋体" w:hAnsi="宋体" w:cs="宋体"/>
          <w:bCs/>
          <w:color w:val="auto"/>
          <w:szCs w:val="21"/>
          <w:u w:val="none"/>
          <w:lang w:eastAsia="zh-CN"/>
        </w:rPr>
        <w:t>》</w:t>
      </w:r>
      <w:r>
        <w:rPr>
          <w:rStyle w:val="9"/>
          <w:rFonts w:hint="eastAsia" w:ascii="宋体" w:hAnsi="宋体" w:cs="宋体"/>
          <w:bCs/>
          <w:color w:val="auto"/>
          <w:szCs w:val="21"/>
          <w:u w:val="none"/>
        </w:rPr>
        <w:t>，额定功率不小于</w:t>
      </w:r>
      <w:r>
        <w:rPr>
          <w:rStyle w:val="9"/>
          <w:rFonts w:ascii="宋体" w:hAnsi="宋体" w:cs="宋体"/>
          <w:bCs/>
          <w:color w:val="auto"/>
          <w:szCs w:val="21"/>
          <w:u w:val="none"/>
        </w:rPr>
        <w:t>0.5kW</w:t>
      </w:r>
      <w:r>
        <w:rPr>
          <w:rStyle w:val="9"/>
          <w:rFonts w:hint="eastAsia" w:ascii="宋体" w:hAnsi="宋体" w:cs="宋体"/>
          <w:bCs/>
          <w:color w:val="auto"/>
          <w:szCs w:val="21"/>
          <w:u w:val="none"/>
        </w:rPr>
        <w:t>的电动机及所有重要用途的电动机，均应设有独立的过载、短路和欠压保护。</w:t>
      </w:r>
    </w:p>
    <w:p>
      <w:pPr>
        <w:pStyle w:val="12"/>
        <w:adjustRightInd w:val="0"/>
        <w:snapToGrid w:val="0"/>
        <w:spacing w:line="320" w:lineRule="atLeast"/>
        <w:ind w:firstLine="0" w:firstLineChars="0"/>
        <w:rPr>
          <w:rStyle w:val="9"/>
          <w:rFonts w:ascii="宋体" w:hAnsi="宋体" w:cs="宋体"/>
          <w:bCs/>
          <w:color w:val="auto"/>
          <w:szCs w:val="21"/>
          <w:u w:val="none"/>
        </w:rPr>
      </w:pPr>
      <w:r>
        <w:rPr>
          <w:rStyle w:val="9"/>
          <w:rFonts w:hint="eastAsia" w:ascii="宋体" w:hAnsi="宋体" w:cs="宋体"/>
          <w:bCs/>
          <w:color w:val="auto"/>
          <w:szCs w:val="21"/>
          <w:u w:val="none"/>
        </w:rPr>
        <w:t>答案：</w:t>
      </w:r>
      <w:r>
        <w:rPr>
          <w:rStyle w:val="9"/>
          <w:rFonts w:ascii="宋体" w:hAnsi="宋体" w:cs="宋体"/>
          <w:bCs/>
          <w:color w:val="auto"/>
          <w:szCs w:val="21"/>
          <w:u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C62537"/>
    <w:multiLevelType w:val="multilevel"/>
    <w:tmpl w:val="39C62537"/>
    <w:lvl w:ilvl="0" w:tentative="0">
      <w:start w:val="1"/>
      <w:numFmt w:val="decimal"/>
      <w:suff w:val="space"/>
      <w:lvlText w:val="%1."/>
      <w:lvlJc w:val="left"/>
      <w:pPr>
        <w:ind w:left="0" w:firstLine="0"/>
      </w:pPr>
      <w:rPr>
        <w:rFonts w:hint="default" w:ascii="Times New Roman" w:hAnsi="Times New Roman" w:cs="Times New Roman"/>
        <w:sz w:val="21"/>
        <w:szCs w:val="21"/>
      </w:rPr>
    </w:lvl>
    <w:lvl w:ilvl="1" w:tentative="0">
      <w:start w:val="1"/>
      <w:numFmt w:val="lowerLetter"/>
      <w:lvlText w:val="%2)"/>
      <w:lvlJc w:val="left"/>
      <w:pPr>
        <w:ind w:left="0" w:firstLine="0"/>
      </w:pPr>
      <w:rPr>
        <w:rFonts w:hint="eastAsia"/>
      </w:rPr>
    </w:lvl>
    <w:lvl w:ilvl="2" w:tentative="0">
      <w:start w:val="1"/>
      <w:numFmt w:val="lowerRoman"/>
      <w:lvlText w:val="%3."/>
      <w:lvlJc w:val="right"/>
      <w:pPr>
        <w:ind w:left="0" w:firstLine="0"/>
      </w:pPr>
      <w:rPr>
        <w:rFonts w:hint="eastAsia"/>
      </w:rPr>
    </w:lvl>
    <w:lvl w:ilvl="3" w:tentative="0">
      <w:start w:val="1"/>
      <w:numFmt w:val="decimal"/>
      <w:lvlText w:val="%4."/>
      <w:lvlJc w:val="left"/>
      <w:pPr>
        <w:ind w:left="0" w:firstLine="0"/>
      </w:pPr>
      <w:rPr>
        <w:rFonts w:hint="eastAsia"/>
      </w:rPr>
    </w:lvl>
    <w:lvl w:ilvl="4" w:tentative="0">
      <w:start w:val="1"/>
      <w:numFmt w:val="lowerLetter"/>
      <w:lvlText w:val="%5)"/>
      <w:lvlJc w:val="left"/>
      <w:pPr>
        <w:ind w:left="0" w:firstLine="0"/>
      </w:pPr>
      <w:rPr>
        <w:rFonts w:hint="eastAsia"/>
      </w:rPr>
    </w:lvl>
    <w:lvl w:ilvl="5" w:tentative="0">
      <w:start w:val="1"/>
      <w:numFmt w:val="lowerRoman"/>
      <w:lvlText w:val="%6."/>
      <w:lvlJc w:val="right"/>
      <w:pPr>
        <w:ind w:left="0" w:firstLine="0"/>
      </w:pPr>
      <w:rPr>
        <w:rFonts w:hint="eastAsia"/>
      </w:rPr>
    </w:lvl>
    <w:lvl w:ilvl="6" w:tentative="0">
      <w:start w:val="1"/>
      <w:numFmt w:val="decimal"/>
      <w:lvlText w:val="%7."/>
      <w:lvlJc w:val="left"/>
      <w:pPr>
        <w:ind w:left="0" w:firstLine="0"/>
      </w:pPr>
      <w:rPr>
        <w:rFonts w:hint="eastAsia"/>
      </w:rPr>
    </w:lvl>
    <w:lvl w:ilvl="7" w:tentative="0">
      <w:start w:val="1"/>
      <w:numFmt w:val="lowerLetter"/>
      <w:lvlText w:val="%8)"/>
      <w:lvlJc w:val="left"/>
      <w:pPr>
        <w:ind w:left="0" w:firstLine="0"/>
      </w:pPr>
      <w:rPr>
        <w:rFonts w:hint="eastAsia"/>
      </w:rPr>
    </w:lvl>
    <w:lvl w:ilvl="8" w:tentative="0">
      <w:start w:val="1"/>
      <w:numFmt w:val="lowerRoman"/>
      <w:lvlText w:val="%9."/>
      <w:lvlJc w:val="righ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jMTQ0ZTExYzk0ZmQwNmE3NTAyOTRmMzJlM2M3OWYifQ=="/>
  </w:docVars>
  <w:rsids>
    <w:rsidRoot w:val="009E1028"/>
    <w:rsid w:val="00036D17"/>
    <w:rsid w:val="0007050F"/>
    <w:rsid w:val="000B7380"/>
    <w:rsid w:val="000C2DD6"/>
    <w:rsid w:val="000D4CAA"/>
    <w:rsid w:val="000E27D4"/>
    <w:rsid w:val="00153C28"/>
    <w:rsid w:val="00156F70"/>
    <w:rsid w:val="00190AE5"/>
    <w:rsid w:val="001C46B4"/>
    <w:rsid w:val="002B647A"/>
    <w:rsid w:val="00351531"/>
    <w:rsid w:val="00377953"/>
    <w:rsid w:val="00387ABB"/>
    <w:rsid w:val="00447C7E"/>
    <w:rsid w:val="0046534E"/>
    <w:rsid w:val="00480DB8"/>
    <w:rsid w:val="004B7B9A"/>
    <w:rsid w:val="004E37D8"/>
    <w:rsid w:val="00535D43"/>
    <w:rsid w:val="005543EF"/>
    <w:rsid w:val="00556993"/>
    <w:rsid w:val="00594F7F"/>
    <w:rsid w:val="005D66B6"/>
    <w:rsid w:val="00637291"/>
    <w:rsid w:val="00643E68"/>
    <w:rsid w:val="006445E7"/>
    <w:rsid w:val="00677B1B"/>
    <w:rsid w:val="00740480"/>
    <w:rsid w:val="00766AD5"/>
    <w:rsid w:val="007761EC"/>
    <w:rsid w:val="007B67EE"/>
    <w:rsid w:val="007C19A0"/>
    <w:rsid w:val="00857062"/>
    <w:rsid w:val="0091391E"/>
    <w:rsid w:val="00932E96"/>
    <w:rsid w:val="009375CB"/>
    <w:rsid w:val="0094421C"/>
    <w:rsid w:val="00982D3E"/>
    <w:rsid w:val="009C6D4A"/>
    <w:rsid w:val="009D6CBA"/>
    <w:rsid w:val="009E1028"/>
    <w:rsid w:val="00A20551"/>
    <w:rsid w:val="00A23976"/>
    <w:rsid w:val="00A42F0B"/>
    <w:rsid w:val="00AC7817"/>
    <w:rsid w:val="00AD18AD"/>
    <w:rsid w:val="00B0088A"/>
    <w:rsid w:val="00B5500B"/>
    <w:rsid w:val="00BA27AC"/>
    <w:rsid w:val="00BD2F71"/>
    <w:rsid w:val="00C075C0"/>
    <w:rsid w:val="00C15A9B"/>
    <w:rsid w:val="00C15C2F"/>
    <w:rsid w:val="00C763AE"/>
    <w:rsid w:val="00C84AFA"/>
    <w:rsid w:val="00CB56C8"/>
    <w:rsid w:val="00CC7D83"/>
    <w:rsid w:val="00D0615F"/>
    <w:rsid w:val="00D219B7"/>
    <w:rsid w:val="00D616B9"/>
    <w:rsid w:val="00D828BD"/>
    <w:rsid w:val="00D86000"/>
    <w:rsid w:val="00DA3C20"/>
    <w:rsid w:val="00DD011C"/>
    <w:rsid w:val="00DD07F3"/>
    <w:rsid w:val="00DE5020"/>
    <w:rsid w:val="00DF330E"/>
    <w:rsid w:val="00DF36BF"/>
    <w:rsid w:val="00E54C06"/>
    <w:rsid w:val="00E6146A"/>
    <w:rsid w:val="00E866EE"/>
    <w:rsid w:val="00EB6B83"/>
    <w:rsid w:val="00F540DD"/>
    <w:rsid w:val="00FA7534"/>
    <w:rsid w:val="00FE13C1"/>
    <w:rsid w:val="010827C0"/>
    <w:rsid w:val="01791910"/>
    <w:rsid w:val="01D37272"/>
    <w:rsid w:val="043F2BBC"/>
    <w:rsid w:val="04602913"/>
    <w:rsid w:val="05DC07B9"/>
    <w:rsid w:val="062115AD"/>
    <w:rsid w:val="07047ECE"/>
    <w:rsid w:val="07B57E15"/>
    <w:rsid w:val="07C27F32"/>
    <w:rsid w:val="093D4DB1"/>
    <w:rsid w:val="0A173A74"/>
    <w:rsid w:val="0DCA4C12"/>
    <w:rsid w:val="0F28295A"/>
    <w:rsid w:val="10515CD0"/>
    <w:rsid w:val="10C5247C"/>
    <w:rsid w:val="11AC7198"/>
    <w:rsid w:val="11C75D80"/>
    <w:rsid w:val="11EC57E6"/>
    <w:rsid w:val="145C30F7"/>
    <w:rsid w:val="14DD1F47"/>
    <w:rsid w:val="158F4E06"/>
    <w:rsid w:val="16B54D41"/>
    <w:rsid w:val="16B8213B"/>
    <w:rsid w:val="176D3F82"/>
    <w:rsid w:val="17990CF7"/>
    <w:rsid w:val="1A406A75"/>
    <w:rsid w:val="1AB84304"/>
    <w:rsid w:val="1E9B67CC"/>
    <w:rsid w:val="1F3B2723"/>
    <w:rsid w:val="1F413615"/>
    <w:rsid w:val="20344F28"/>
    <w:rsid w:val="207D60B5"/>
    <w:rsid w:val="21962D82"/>
    <w:rsid w:val="219B0079"/>
    <w:rsid w:val="219C4B33"/>
    <w:rsid w:val="234B06D3"/>
    <w:rsid w:val="238E0DF3"/>
    <w:rsid w:val="23D21997"/>
    <w:rsid w:val="26217CFD"/>
    <w:rsid w:val="291C420C"/>
    <w:rsid w:val="2AF44046"/>
    <w:rsid w:val="2BB93306"/>
    <w:rsid w:val="2D1A7254"/>
    <w:rsid w:val="2DF80288"/>
    <w:rsid w:val="2E0C1292"/>
    <w:rsid w:val="2FCA731F"/>
    <w:rsid w:val="334D2131"/>
    <w:rsid w:val="33817E8E"/>
    <w:rsid w:val="35C65F46"/>
    <w:rsid w:val="35F752F9"/>
    <w:rsid w:val="361E1B63"/>
    <w:rsid w:val="36E536B9"/>
    <w:rsid w:val="36F84307"/>
    <w:rsid w:val="38A00FED"/>
    <w:rsid w:val="39C90037"/>
    <w:rsid w:val="3A8B1791"/>
    <w:rsid w:val="3A8D195C"/>
    <w:rsid w:val="3C0F172E"/>
    <w:rsid w:val="3E7E3ADD"/>
    <w:rsid w:val="3FA27361"/>
    <w:rsid w:val="433A3D54"/>
    <w:rsid w:val="45D85B67"/>
    <w:rsid w:val="47A25E97"/>
    <w:rsid w:val="4997083F"/>
    <w:rsid w:val="4AE7656F"/>
    <w:rsid w:val="4C72630D"/>
    <w:rsid w:val="4E766588"/>
    <w:rsid w:val="4F894099"/>
    <w:rsid w:val="50C335DB"/>
    <w:rsid w:val="517B3EB5"/>
    <w:rsid w:val="52FB0311"/>
    <w:rsid w:val="530F2B07"/>
    <w:rsid w:val="53663AF1"/>
    <w:rsid w:val="53D53D51"/>
    <w:rsid w:val="570566FB"/>
    <w:rsid w:val="572B31E3"/>
    <w:rsid w:val="574C257C"/>
    <w:rsid w:val="578435E0"/>
    <w:rsid w:val="59934492"/>
    <w:rsid w:val="5AC858D3"/>
    <w:rsid w:val="5B942B74"/>
    <w:rsid w:val="5E634918"/>
    <w:rsid w:val="614A0682"/>
    <w:rsid w:val="62830E1C"/>
    <w:rsid w:val="628A03FC"/>
    <w:rsid w:val="65680CF7"/>
    <w:rsid w:val="65DE0437"/>
    <w:rsid w:val="66432D9C"/>
    <w:rsid w:val="66AC1B17"/>
    <w:rsid w:val="6A2904FB"/>
    <w:rsid w:val="6A843977"/>
    <w:rsid w:val="6BA50055"/>
    <w:rsid w:val="6CE7753D"/>
    <w:rsid w:val="6DB4457F"/>
    <w:rsid w:val="6E3B3E98"/>
    <w:rsid w:val="6F694F47"/>
    <w:rsid w:val="706A53C9"/>
    <w:rsid w:val="70D3077D"/>
    <w:rsid w:val="716B764B"/>
    <w:rsid w:val="71E847F7"/>
    <w:rsid w:val="738C7903"/>
    <w:rsid w:val="73A80986"/>
    <w:rsid w:val="75D64A4F"/>
    <w:rsid w:val="77583B52"/>
    <w:rsid w:val="77AC105E"/>
    <w:rsid w:val="79134850"/>
    <w:rsid w:val="7E07150A"/>
    <w:rsid w:val="7F2D2D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4"/>
    <w:semiHidden/>
    <w:unhideWhenUsed/>
    <w:qFormat/>
    <w:uiPriority w:val="0"/>
    <w:rPr>
      <w:rFonts w:ascii="宋体" w:hAnsi="Courier New" w:eastAsiaTheme="minorEastAsia" w:cstheme="minorBidi"/>
      <w:szCs w:val="22"/>
    </w:rPr>
  </w:style>
  <w:style w:type="paragraph" w:styleId="3">
    <w:name w:val="Balloon Text"/>
    <w:basedOn w:val="1"/>
    <w:link w:val="16"/>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FollowedHyperlink"/>
    <w:basedOn w:val="7"/>
    <w:semiHidden/>
    <w:unhideWhenUsed/>
    <w:qFormat/>
    <w:uiPriority w:val="99"/>
    <w:rPr>
      <w:color w:val="954F72" w:themeColor="followedHyperlink"/>
      <w:u w:val="single"/>
      <w14:textFill>
        <w14:solidFill>
          <w14:schemeClr w14:val="folHlink"/>
        </w14:solidFill>
      </w14:textFill>
    </w:rPr>
  </w:style>
  <w:style w:type="character" w:styleId="9">
    <w:name w:val="Hyperlink"/>
    <w:qFormat/>
    <w:uiPriority w:val="0"/>
    <w:rPr>
      <w:color w:val="0000FF"/>
      <w:szCs w:val="20"/>
      <w:u w:val="single"/>
    </w:rPr>
  </w:style>
  <w:style w:type="character" w:customStyle="1" w:styleId="10">
    <w:name w:val="页眉 字符"/>
    <w:basedOn w:val="7"/>
    <w:link w:val="5"/>
    <w:qFormat/>
    <w:uiPriority w:val="99"/>
    <w:rPr>
      <w:sz w:val="18"/>
      <w:szCs w:val="18"/>
    </w:rPr>
  </w:style>
  <w:style w:type="character" w:customStyle="1" w:styleId="11">
    <w:name w:val="页脚 字符"/>
    <w:basedOn w:val="7"/>
    <w:link w:val="4"/>
    <w:qFormat/>
    <w:uiPriority w:val="99"/>
    <w:rPr>
      <w:sz w:val="18"/>
      <w:szCs w:val="18"/>
    </w:rPr>
  </w:style>
  <w:style w:type="paragraph" w:styleId="12">
    <w:name w:val="List Paragraph"/>
    <w:basedOn w:val="1"/>
    <w:qFormat/>
    <w:uiPriority w:val="34"/>
    <w:pPr>
      <w:ind w:firstLine="420" w:firstLineChars="200"/>
    </w:pPr>
  </w:style>
  <w:style w:type="paragraph" w:customStyle="1" w:styleId="13">
    <w:name w:val="msonormal"/>
    <w:basedOn w:val="1"/>
    <w:qFormat/>
    <w:uiPriority w:val="0"/>
    <w:pPr>
      <w:widowControl/>
      <w:spacing w:before="100" w:beforeAutospacing="1" w:after="100" w:afterAutospacing="1"/>
      <w:jc w:val="left"/>
    </w:pPr>
    <w:rPr>
      <w:rFonts w:ascii="宋体" w:hAnsi="宋体" w:cs="宋体"/>
      <w:kern w:val="0"/>
      <w:sz w:val="24"/>
    </w:rPr>
  </w:style>
  <w:style w:type="character" w:customStyle="1" w:styleId="14">
    <w:name w:val="纯文本 字符"/>
    <w:basedOn w:val="7"/>
    <w:link w:val="2"/>
    <w:semiHidden/>
    <w:qFormat/>
    <w:uiPriority w:val="0"/>
    <w:rPr>
      <w:rFonts w:ascii="宋体" w:hAnsi="Courier New"/>
    </w:rPr>
  </w:style>
  <w:style w:type="character" w:customStyle="1" w:styleId="15">
    <w:name w:val="纯文本 字符1"/>
    <w:basedOn w:val="7"/>
    <w:semiHidden/>
    <w:qFormat/>
    <w:uiPriority w:val="99"/>
    <w:rPr>
      <w:rFonts w:hint="eastAsia" w:hAnsi="Courier New" w:eastAsia="等线" w:cs="Courier New" w:asciiTheme="minorEastAsia"/>
      <w:szCs w:val="24"/>
    </w:rPr>
  </w:style>
  <w:style w:type="character" w:customStyle="1" w:styleId="16">
    <w:name w:val="批注框文本 字符"/>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5</Pages>
  <Words>3764</Words>
  <Characters>4037</Characters>
  <Lines>29</Lines>
  <Paragraphs>8</Paragraphs>
  <TotalTime>1</TotalTime>
  <ScaleCrop>false</ScaleCrop>
  <LinksUpToDate>false</LinksUpToDate>
  <CharactersWithSpaces>4052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2023-07-24T03:31:00Z</dcterms:created>
  <dc:creator>姚静</dc:creator>
  <cp:lastModifiedBy>jsyj-ysc2</cp:lastModifiedBy>
  <dcterms:modified xsi:type="dcterms:W3CDTF">2023-09-11T02:13:29Z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889BC14800844B839F38CA74B5DFA046_12</vt:lpwstr>
  </property>
</Properties>
</file>